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279530AD"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E756CF">
        <w:rPr>
          <w:b/>
          <w:bCs/>
          <w:noProof/>
          <w:sz w:val="24"/>
          <w:szCs w:val="24"/>
        </w:rPr>
        <w:t>5</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4462E3" w:rsidRPr="004462E3">
        <w:rPr>
          <w:rFonts w:cs="Arial"/>
          <w:b/>
          <w:bCs/>
          <w:noProof/>
          <w:sz w:val="28"/>
          <w:szCs w:val="28"/>
        </w:rPr>
        <w:t>4</w:t>
      </w:r>
      <w:r w:rsidR="00000F38">
        <w:rPr>
          <w:rFonts w:cs="Arial"/>
          <w:b/>
          <w:bCs/>
          <w:noProof/>
          <w:sz w:val="28"/>
          <w:szCs w:val="28"/>
        </w:rPr>
        <w:t>4290</w:t>
      </w:r>
    </w:p>
    <w:p w14:paraId="61035C91" w14:textId="1DA18FF9" w:rsidR="007D03F4" w:rsidRDefault="00E756CF" w:rsidP="00CE15E6">
      <w:pPr>
        <w:tabs>
          <w:tab w:val="left" w:pos="1701"/>
          <w:tab w:val="right" w:pos="9639"/>
        </w:tabs>
        <w:spacing w:after="0" w:line="288" w:lineRule="auto"/>
        <w:rPr>
          <w:b/>
          <w:bCs/>
          <w:szCs w:val="24"/>
        </w:rPr>
      </w:pPr>
      <w:r>
        <w:rPr>
          <w:rFonts w:ascii="Arial" w:hAnsi="Arial"/>
          <w:b/>
          <w:bCs/>
          <w:noProof/>
          <w:sz w:val="24"/>
          <w:szCs w:val="24"/>
        </w:rPr>
        <w:t>Maastricht</w:t>
      </w:r>
      <w:r w:rsidRPr="00881346">
        <w:rPr>
          <w:rFonts w:ascii="Arial" w:hAnsi="Arial"/>
          <w:b/>
          <w:bCs/>
          <w:noProof/>
          <w:sz w:val="24"/>
          <w:szCs w:val="24"/>
        </w:rPr>
        <w:t xml:space="preserve">, </w:t>
      </w:r>
      <w:r>
        <w:rPr>
          <w:rFonts w:ascii="Arial" w:hAnsi="Arial"/>
          <w:b/>
          <w:bCs/>
          <w:noProof/>
          <w:sz w:val="24"/>
          <w:szCs w:val="24"/>
        </w:rPr>
        <w:t>Netherlands</w:t>
      </w:r>
      <w:r w:rsidRPr="00881346">
        <w:rPr>
          <w:rFonts w:ascii="Arial" w:hAnsi="Arial"/>
          <w:b/>
          <w:bCs/>
          <w:noProof/>
          <w:sz w:val="24"/>
          <w:szCs w:val="24"/>
        </w:rPr>
        <w:t xml:space="preserve">, </w:t>
      </w:r>
      <w:r>
        <w:rPr>
          <w:rFonts w:ascii="Arial" w:hAnsi="Arial"/>
          <w:b/>
          <w:bCs/>
          <w:noProof/>
          <w:sz w:val="24"/>
          <w:szCs w:val="24"/>
        </w:rPr>
        <w:t>Aug 19-23</w:t>
      </w:r>
      <w:r w:rsidRPr="00881346">
        <w:rPr>
          <w:rFonts w:ascii="Arial" w:hAnsi="Arial"/>
          <w:b/>
          <w:bCs/>
          <w:noProof/>
          <w:sz w:val="24"/>
          <w:szCs w:val="24"/>
        </w:rPr>
        <w:t>, 202</w:t>
      </w:r>
      <w:r>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0D490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06E4C4BA" w14:textId="59889869" w:rsidR="00CC65A8" w:rsidRDefault="00F7718F" w:rsidP="00A57392">
      <w:pPr>
        <w:spacing w:line="276" w:lineRule="auto"/>
      </w:pPr>
      <w:r>
        <w:t>In RAN</w:t>
      </w:r>
      <w:r w:rsidR="00DF12C5">
        <w:t>#124</w:t>
      </w:r>
      <w:r>
        <w:t xml:space="preserve"> meeting, </w:t>
      </w:r>
      <w:r w:rsidR="00A83F38">
        <w:t xml:space="preserve">AI/ML based CCO was quite controversial. </w:t>
      </w:r>
      <w:r w:rsidR="00DF12C5">
        <w:t xml:space="preserve">The CCO issue prediction is agreed to be in the </w:t>
      </w:r>
      <w:proofErr w:type="spellStart"/>
      <w:r w:rsidR="00DF12C5">
        <w:t>gNB</w:t>
      </w:r>
      <w:proofErr w:type="spellEnd"/>
      <w:r w:rsidR="00DF12C5">
        <w:t xml:space="preserve">-CU, however there was no consensus in the CCO Configuration prediction. Companies didn’t agree to have AI/ML capabilities in the </w:t>
      </w:r>
      <w:proofErr w:type="spellStart"/>
      <w:r w:rsidR="00DF12C5">
        <w:t>gNB</w:t>
      </w:r>
      <w:proofErr w:type="spellEnd"/>
      <w:r w:rsidR="00DF12C5">
        <w:t xml:space="preserve">-DU. </w:t>
      </w:r>
      <w:r w:rsidR="00D47739">
        <w:t>However,</w:t>
      </w:r>
      <w:r w:rsidR="00DF12C5">
        <w:t xml:space="preserve"> it was agreed that for monolithic </w:t>
      </w:r>
      <w:proofErr w:type="spellStart"/>
      <w:r w:rsidR="00DF12C5">
        <w:t>gNB</w:t>
      </w:r>
      <w:proofErr w:type="spellEnd"/>
      <w:r w:rsidR="00DF12C5">
        <w:t xml:space="preserve"> the future CCO configuration can be derived via AI/ML or legacy mechanisms.</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22AA8079" w14:textId="28EA8EBB" w:rsidR="00CC65A8" w:rsidRDefault="00CC65A8" w:rsidP="00CC65A8">
            <w:pPr>
              <w:spacing w:after="120"/>
              <w:ind w:right="-96"/>
              <w:jc w:val="both"/>
              <w:rPr>
                <w:b/>
                <w:bCs/>
                <w:u w:val="single"/>
              </w:rPr>
            </w:pPr>
            <w:r w:rsidRPr="0021227E">
              <w:rPr>
                <w:b/>
                <w:bCs/>
                <w:u w:val="single"/>
              </w:rPr>
              <w:t>R</w:t>
            </w:r>
            <w:r w:rsidR="009A44F7">
              <w:rPr>
                <w:b/>
                <w:bCs/>
                <w:u w:val="single"/>
              </w:rPr>
              <w:t>AN3#12</w:t>
            </w:r>
            <w:r w:rsidR="00DF12C5">
              <w:rPr>
                <w:b/>
                <w:bCs/>
                <w:u w:val="single"/>
              </w:rPr>
              <w:t>4</w:t>
            </w:r>
          </w:p>
          <w:p w14:paraId="0E39E489" w14:textId="77777777" w:rsidR="009A44F7" w:rsidRPr="0021227E" w:rsidRDefault="009A44F7" w:rsidP="00CC65A8">
            <w:pPr>
              <w:spacing w:after="120"/>
              <w:ind w:right="-96"/>
              <w:jc w:val="both"/>
              <w:rPr>
                <w:b/>
                <w:bCs/>
                <w:u w:val="single"/>
              </w:rPr>
            </w:pPr>
          </w:p>
          <w:p w14:paraId="532E0D91" w14:textId="77777777" w:rsidR="00DF12C5" w:rsidRPr="00963A85" w:rsidRDefault="00DF12C5" w:rsidP="00DF12C5">
            <w:pPr>
              <w:rPr>
                <w:rFonts w:ascii="Calibri" w:eastAsia="MS Mincho" w:hAnsi="Calibri" w:cs="Calibri"/>
                <w:i/>
                <w:iCs/>
                <w:color w:val="00B050"/>
                <w:kern w:val="2"/>
                <w:sz w:val="16"/>
                <w:szCs w:val="16"/>
              </w:rPr>
            </w:pPr>
            <w:r w:rsidRPr="00963A85">
              <w:rPr>
                <w:rFonts w:ascii="Calibri" w:eastAsia="MS Mincho" w:hAnsi="Calibri" w:cs="Calibri"/>
                <w:i/>
                <w:iCs/>
                <w:color w:val="00B050"/>
                <w:kern w:val="2"/>
                <w:sz w:val="16"/>
                <w:szCs w:val="16"/>
              </w:rPr>
              <w:t xml:space="preserve">For non-split architecture, future CCO state can be derived via legacy mechanism or AI/ML techniques which is up to implementation. </w:t>
            </w:r>
          </w:p>
          <w:p w14:paraId="28CB4294" w14:textId="77777777" w:rsidR="00DF12C5" w:rsidRPr="00963A85" w:rsidRDefault="00DF12C5" w:rsidP="00DF12C5">
            <w:pPr>
              <w:rPr>
                <w:rFonts w:ascii="Calibri" w:eastAsia="MS Mincho" w:hAnsi="Calibri" w:cs="Calibri"/>
                <w:i/>
                <w:iCs/>
                <w:color w:val="00B050"/>
                <w:kern w:val="2"/>
                <w:sz w:val="16"/>
                <w:szCs w:val="16"/>
              </w:rPr>
            </w:pPr>
            <w:r w:rsidRPr="00963A85">
              <w:rPr>
                <w:rFonts w:ascii="Calibri" w:eastAsia="MS Mincho" w:hAnsi="Calibri" w:cs="Calibri"/>
                <w:i/>
                <w:iCs/>
                <w:color w:val="00B050"/>
                <w:kern w:val="2"/>
                <w:sz w:val="16"/>
                <w:szCs w:val="16"/>
              </w:rPr>
              <w:t xml:space="preserve">For split architecture, the standardization of AI/ML based future CCO state inference in the </w:t>
            </w:r>
            <w:proofErr w:type="spellStart"/>
            <w:r w:rsidRPr="00963A85">
              <w:rPr>
                <w:rFonts w:ascii="Calibri" w:eastAsia="MS Mincho" w:hAnsi="Calibri" w:cs="Calibri"/>
                <w:i/>
                <w:iCs/>
                <w:color w:val="00B050"/>
                <w:kern w:val="2"/>
                <w:sz w:val="16"/>
                <w:szCs w:val="16"/>
              </w:rPr>
              <w:t>gNB</w:t>
            </w:r>
            <w:proofErr w:type="spellEnd"/>
            <w:r w:rsidRPr="00963A85">
              <w:rPr>
                <w:rFonts w:ascii="Calibri" w:eastAsia="MS Mincho" w:hAnsi="Calibri" w:cs="Calibri"/>
                <w:i/>
                <w:iCs/>
                <w:color w:val="00B050"/>
                <w:kern w:val="2"/>
                <w:sz w:val="16"/>
                <w:szCs w:val="16"/>
              </w:rPr>
              <w:t xml:space="preserve">-DU is not supported in R19, how to derive future CCO state is up to implementation in the </w:t>
            </w:r>
            <w:proofErr w:type="spellStart"/>
            <w:r w:rsidRPr="00963A85">
              <w:rPr>
                <w:rFonts w:ascii="Calibri" w:eastAsia="MS Mincho" w:hAnsi="Calibri" w:cs="Calibri"/>
                <w:i/>
                <w:iCs/>
                <w:color w:val="00B050"/>
                <w:kern w:val="2"/>
                <w:sz w:val="16"/>
                <w:szCs w:val="16"/>
              </w:rPr>
              <w:t>gNB</w:t>
            </w:r>
            <w:proofErr w:type="spellEnd"/>
            <w:r w:rsidRPr="00963A85">
              <w:rPr>
                <w:rFonts w:ascii="Calibri" w:eastAsia="MS Mincho" w:hAnsi="Calibri" w:cs="Calibri"/>
                <w:i/>
                <w:iCs/>
                <w:color w:val="00B050"/>
                <w:kern w:val="2"/>
                <w:sz w:val="16"/>
                <w:szCs w:val="16"/>
              </w:rPr>
              <w:t xml:space="preserve">-DU, e.g., legacy or AI/ML. </w:t>
            </w:r>
          </w:p>
          <w:p w14:paraId="18C5E582" w14:textId="77777777" w:rsidR="00DF12C5" w:rsidRDefault="00DF12C5" w:rsidP="00DF12C5">
            <w:pPr>
              <w:rPr>
                <w:rFonts w:ascii="Calibri" w:hAnsi="Calibri" w:cs="Calibri"/>
                <w:i/>
                <w:color w:val="FF0000"/>
                <w:kern w:val="2"/>
                <w:sz w:val="16"/>
                <w:szCs w:val="16"/>
              </w:rPr>
            </w:pPr>
            <w:r w:rsidRPr="00963A85">
              <w:rPr>
                <w:rFonts w:ascii="Calibri" w:hAnsi="Calibri" w:cs="Calibri"/>
                <w:i/>
                <w:color w:val="FF0000"/>
                <w:kern w:val="2"/>
                <w:sz w:val="16"/>
                <w:szCs w:val="16"/>
              </w:rPr>
              <w:t>Time information to be further discussed in next meeting.</w:t>
            </w:r>
          </w:p>
          <w:p w14:paraId="06C47AD3" w14:textId="7B027979" w:rsidR="00520556" w:rsidRPr="0021227E" w:rsidRDefault="00DF12C5" w:rsidP="00DF12C5">
            <w:pPr>
              <w:overflowPunct/>
              <w:autoSpaceDE/>
              <w:autoSpaceDN/>
              <w:adjustRightInd/>
              <w:spacing w:after="120" w:line="257" w:lineRule="auto"/>
              <w:contextualSpacing/>
              <w:jc w:val="both"/>
              <w:textAlignment w:val="auto"/>
              <w:rPr>
                <w:rFonts w:eastAsia="SimSun"/>
                <w:bCs/>
                <w:lang w:val="en-US" w:eastAsia="zh-CN"/>
              </w:rPr>
            </w:pPr>
            <w:r>
              <w:rPr>
                <w:rFonts w:ascii="Calibri" w:hAnsi="Calibri" w:cs="Calibri"/>
                <w:i/>
                <w:color w:val="FF0000"/>
                <w:kern w:val="2"/>
                <w:sz w:val="16"/>
                <w:szCs w:val="16"/>
              </w:rPr>
              <w:t>Finalize the TP and conclusion.</w:t>
            </w:r>
          </w:p>
        </w:tc>
      </w:tr>
    </w:tbl>
    <w:p w14:paraId="34E705B2" w14:textId="05F5A866" w:rsidR="00DE6FFF" w:rsidRDefault="00DE6FFF" w:rsidP="00A57392">
      <w:pPr>
        <w:spacing w:line="276" w:lineRule="auto"/>
      </w:pPr>
    </w:p>
    <w:p w14:paraId="0647D8C1" w14:textId="0D320A86" w:rsidR="00692DB3" w:rsidRDefault="00CC65A8" w:rsidP="00A57392">
      <w:pPr>
        <w:spacing w:line="276" w:lineRule="auto"/>
      </w:pPr>
      <w:r>
        <w:t>In this paper we discuss our view</w:t>
      </w:r>
      <w:r w:rsidR="00A7652D">
        <w:t>s</w:t>
      </w:r>
      <w:r>
        <w:t xml:space="preserve"> </w:t>
      </w:r>
      <w:r w:rsidR="00A7652D">
        <w:t xml:space="preserve">on the </w:t>
      </w:r>
      <w:r w:rsidR="00DF12C5">
        <w:t xml:space="preserve">future </w:t>
      </w:r>
      <w:r w:rsidR="00A83F38">
        <w:t>CCO configuration and CCO configuration feedback.</w:t>
      </w:r>
    </w:p>
    <w:p w14:paraId="7B502DCF" w14:textId="3EAB77E5" w:rsidR="00DE6FFF" w:rsidRDefault="002727D6" w:rsidP="0026702A">
      <w:pPr>
        <w:pStyle w:val="Heading1"/>
        <w:spacing w:line="276" w:lineRule="auto"/>
        <w:ind w:left="450"/>
      </w:pPr>
      <w:r>
        <w:t>Discussion</w:t>
      </w:r>
    </w:p>
    <w:p w14:paraId="18BB23CF" w14:textId="750D14E0" w:rsidR="00A7652D" w:rsidRDefault="00615E4D" w:rsidP="006B274B">
      <w:pPr>
        <w:pStyle w:val="Heading2"/>
        <w:ind w:left="0" w:firstLine="0"/>
      </w:pPr>
      <w:r>
        <w:t>Future</w:t>
      </w:r>
      <w:r w:rsidR="00A83F38">
        <w:t xml:space="preserve"> CCO Configuration</w:t>
      </w:r>
    </w:p>
    <w:p w14:paraId="71099E53" w14:textId="56A801CD" w:rsidR="00DC1650" w:rsidRDefault="00DC1650" w:rsidP="00446474">
      <w:pPr>
        <w:widowControl w:val="0"/>
        <w:spacing w:before="100" w:beforeAutospacing="1"/>
        <w:rPr>
          <w:lang w:eastAsia="zh-CN"/>
        </w:rPr>
      </w:pPr>
      <w:r>
        <w:rPr>
          <w:lang w:eastAsia="zh-CN"/>
        </w:rPr>
        <w:t xml:space="preserve">In the last meeting it was agreed that future CCO configuration can be derived using AI/ML or legacy mechanisms. </w:t>
      </w:r>
      <w:r w:rsidR="00AA28E1">
        <w:rPr>
          <w:lang w:eastAsia="zh-CN"/>
        </w:rPr>
        <w:t>However,</w:t>
      </w:r>
      <w:r>
        <w:rPr>
          <w:lang w:eastAsia="zh-CN"/>
        </w:rPr>
        <w:t xml:space="preserve"> companies raised concern that future CCO cannot be provided as output of AI/ML based CCO. We would like to have </w:t>
      </w:r>
      <w:proofErr w:type="spellStart"/>
      <w:r>
        <w:rPr>
          <w:lang w:eastAsia="zh-CN"/>
        </w:rPr>
        <w:t>atleast</w:t>
      </w:r>
      <w:proofErr w:type="spellEnd"/>
      <w:r>
        <w:rPr>
          <w:lang w:eastAsia="zh-CN"/>
        </w:rPr>
        <w:t xml:space="preserve"> for non-split architecture, future CCO as the output of AI/ML based CCO. </w:t>
      </w:r>
    </w:p>
    <w:p w14:paraId="77CDE885" w14:textId="6A430E10" w:rsidR="009D3C78" w:rsidRPr="00205914" w:rsidRDefault="00026C6A" w:rsidP="009D3C78">
      <w:pPr>
        <w:pStyle w:val="PropObs"/>
        <w:rPr>
          <w:rFonts w:ascii="Times New Roman" w:eastAsia="Times New Roman" w:hAnsi="Times New Roman" w:cs="Times New Roman"/>
          <w:bCs w:val="0"/>
          <w:sz w:val="20"/>
          <w:szCs w:val="20"/>
          <w:lang w:val="en-GB" w:eastAsia="en-US"/>
        </w:rPr>
      </w:pPr>
      <w:bookmarkStart w:id="1" w:name="_Toc166178415"/>
      <w:bookmarkStart w:id="2" w:name="_Toc166178483"/>
      <w:bookmarkStart w:id="3" w:name="_Toc166192091"/>
      <w:bookmarkStart w:id="4" w:name="_Toc166231368"/>
      <w:bookmarkStart w:id="5" w:name="_Toc174029954"/>
      <w:bookmarkStart w:id="6" w:name="_Toc174031105"/>
      <w:bookmarkStart w:id="7" w:name="_Toc174033467"/>
      <w:bookmarkStart w:id="8" w:name="_Toc174093115"/>
      <w:bookmarkStart w:id="9" w:name="_Toc174093137"/>
      <w:bookmarkStart w:id="10" w:name="_Toc174094359"/>
      <w:r w:rsidRPr="00205914">
        <w:rPr>
          <w:rFonts w:ascii="Times New Roman" w:eastAsia="Times New Roman" w:hAnsi="Times New Roman" w:cs="Times New Roman"/>
          <w:bCs w:val="0"/>
          <w:sz w:val="20"/>
          <w:szCs w:val="20"/>
          <w:lang w:val="en-GB" w:eastAsia="en-US"/>
        </w:rPr>
        <w:t>RAN3 to agree</w:t>
      </w:r>
      <w:r w:rsidR="00DC1650" w:rsidRPr="00205914">
        <w:rPr>
          <w:rFonts w:ascii="Times New Roman" w:eastAsia="Times New Roman" w:hAnsi="Times New Roman" w:cs="Times New Roman"/>
          <w:bCs w:val="0"/>
          <w:sz w:val="20"/>
          <w:szCs w:val="20"/>
          <w:lang w:val="en-GB" w:eastAsia="en-US"/>
        </w:rPr>
        <w:t>s</w:t>
      </w:r>
      <w:r w:rsidRPr="00205914">
        <w:rPr>
          <w:rFonts w:ascii="Times New Roman" w:eastAsia="Times New Roman" w:hAnsi="Times New Roman" w:cs="Times New Roman"/>
          <w:bCs w:val="0"/>
          <w:sz w:val="20"/>
          <w:szCs w:val="20"/>
          <w:lang w:val="en-GB" w:eastAsia="en-US"/>
        </w:rPr>
        <w:t xml:space="preserve"> </w:t>
      </w:r>
      <w:r w:rsidR="00DC1650" w:rsidRPr="00205914">
        <w:rPr>
          <w:rFonts w:ascii="Times New Roman" w:eastAsia="Times New Roman" w:hAnsi="Times New Roman" w:cs="Times New Roman"/>
          <w:bCs w:val="0"/>
          <w:sz w:val="20"/>
          <w:szCs w:val="20"/>
          <w:lang w:val="en-GB" w:eastAsia="en-US"/>
        </w:rPr>
        <w:t>to add “Future CCO state” as the output data of AI/ML based CCO for non-split architecture</w:t>
      </w:r>
      <w:r w:rsidR="009D3C78" w:rsidRPr="00205914">
        <w:rPr>
          <w:rFonts w:ascii="Times New Roman" w:eastAsia="Times New Roman" w:hAnsi="Times New Roman" w:cs="Times New Roman"/>
          <w:bCs w:val="0"/>
          <w:sz w:val="20"/>
          <w:szCs w:val="20"/>
          <w:lang w:val="en-GB" w:eastAsia="en-US"/>
        </w:rPr>
        <w:t>.</w:t>
      </w:r>
      <w:bookmarkEnd w:id="1"/>
      <w:bookmarkEnd w:id="2"/>
      <w:bookmarkEnd w:id="3"/>
      <w:bookmarkEnd w:id="4"/>
      <w:bookmarkEnd w:id="5"/>
      <w:bookmarkEnd w:id="6"/>
      <w:r w:rsidR="00AA28E1">
        <w:rPr>
          <w:rFonts w:ascii="Times New Roman" w:eastAsia="Times New Roman" w:hAnsi="Times New Roman" w:cs="Times New Roman"/>
          <w:bCs w:val="0"/>
          <w:sz w:val="20"/>
          <w:szCs w:val="20"/>
          <w:lang w:val="en-GB" w:eastAsia="en-US"/>
        </w:rPr>
        <w:t xml:space="preserve"> Agree to TP in R3-244291</w:t>
      </w:r>
      <w:bookmarkEnd w:id="7"/>
      <w:bookmarkEnd w:id="8"/>
      <w:bookmarkEnd w:id="9"/>
      <w:bookmarkEnd w:id="10"/>
    </w:p>
    <w:p w14:paraId="700AB699" w14:textId="77777777" w:rsidR="009D3C78" w:rsidRDefault="009D3C78" w:rsidP="007167BF"/>
    <w:p w14:paraId="395047D9" w14:textId="1B64B9BD" w:rsidR="00205914" w:rsidRDefault="00205914" w:rsidP="007167BF">
      <w:r>
        <w:t>The future CCO state can be associated with a time when the CCO state will be applied. The time information indicates to the neighbouring when the new CCO state will be in effect.</w:t>
      </w:r>
    </w:p>
    <w:p w14:paraId="77FD0310" w14:textId="77777777" w:rsidR="00205914" w:rsidRDefault="00205914" w:rsidP="007167BF"/>
    <w:p w14:paraId="5AB714B9" w14:textId="08512959" w:rsidR="00205914" w:rsidRPr="00205914" w:rsidRDefault="00205914" w:rsidP="00205914">
      <w:pPr>
        <w:pStyle w:val="PropObs"/>
        <w:rPr>
          <w:rFonts w:ascii="Times New Roman" w:eastAsia="Times New Roman" w:hAnsi="Times New Roman" w:cs="Times New Roman"/>
          <w:bCs w:val="0"/>
          <w:sz w:val="20"/>
          <w:szCs w:val="20"/>
          <w:lang w:val="en-GB" w:eastAsia="en-US"/>
        </w:rPr>
      </w:pPr>
      <w:bookmarkStart w:id="11" w:name="_Toc174031106"/>
      <w:bookmarkStart w:id="12" w:name="_Toc174033468"/>
      <w:bookmarkStart w:id="13" w:name="_Toc174093116"/>
      <w:bookmarkStart w:id="14" w:name="_Toc174093138"/>
      <w:bookmarkStart w:id="15" w:name="_Toc174094360"/>
      <w:r w:rsidRPr="00205914">
        <w:rPr>
          <w:rFonts w:ascii="Times New Roman" w:eastAsia="Times New Roman" w:hAnsi="Times New Roman" w:cs="Times New Roman"/>
          <w:bCs w:val="0"/>
          <w:sz w:val="20"/>
          <w:szCs w:val="20"/>
          <w:lang w:val="en-GB" w:eastAsia="en-US"/>
        </w:rPr>
        <w:t>RAN3 to agrees to include Time information along with Future CCO state for AI/ML based CCO.</w:t>
      </w:r>
      <w:bookmarkEnd w:id="11"/>
      <w:bookmarkEnd w:id="12"/>
      <w:bookmarkEnd w:id="13"/>
      <w:bookmarkEnd w:id="14"/>
      <w:bookmarkEnd w:id="15"/>
    </w:p>
    <w:p w14:paraId="16371897" w14:textId="77777777" w:rsidR="00205914" w:rsidRDefault="00205914" w:rsidP="007167BF"/>
    <w:p w14:paraId="7C3E29EF" w14:textId="5FDFF067" w:rsidR="007167BF" w:rsidRDefault="009D3C78" w:rsidP="007167BF">
      <w:r>
        <w:lastRenderedPageBreak/>
        <w:t xml:space="preserve">There could be different scenarios like energy savings, interference etc due to which the CCO configuration is changed. When the CCO configuration is changed in a particular </w:t>
      </w:r>
      <w:proofErr w:type="spellStart"/>
      <w:r>
        <w:t>gNB</w:t>
      </w:r>
      <w:proofErr w:type="spellEnd"/>
      <w:r>
        <w:t xml:space="preserve">, it impacts the other </w:t>
      </w:r>
      <w:proofErr w:type="spellStart"/>
      <w:r>
        <w:t>gNBs</w:t>
      </w:r>
      <w:proofErr w:type="spellEnd"/>
      <w:r>
        <w:t xml:space="preserve"> in the neighbourhood as well. For example, when one </w:t>
      </w:r>
      <w:proofErr w:type="spellStart"/>
      <w:r>
        <w:t>gNB</w:t>
      </w:r>
      <w:proofErr w:type="spellEnd"/>
      <w:r>
        <w:t xml:space="preserve"> shrinks its coverage due to NES, then the neighbouring </w:t>
      </w:r>
      <w:proofErr w:type="spellStart"/>
      <w:r>
        <w:t>gNB</w:t>
      </w:r>
      <w:proofErr w:type="spellEnd"/>
      <w:r>
        <w:t xml:space="preserve"> needs to expand its coverage to avoid a coverage gap. </w:t>
      </w:r>
    </w:p>
    <w:p w14:paraId="3326034A" w14:textId="77777777" w:rsidR="006C12D1" w:rsidRDefault="006C12D1" w:rsidP="006C12D1">
      <w:pPr>
        <w:rPr>
          <w:lang w:eastAsia="zh-CN"/>
        </w:rPr>
      </w:pPr>
      <w:r>
        <w:rPr>
          <w:lang w:eastAsia="zh-CN"/>
        </w:rPr>
        <w:t xml:space="preserve">Sample Call flow is shown below – </w:t>
      </w:r>
    </w:p>
    <w:p w14:paraId="5458F9EF" w14:textId="77777777" w:rsidR="006C12D1" w:rsidRDefault="006C12D1" w:rsidP="006C12D1">
      <w:pPr>
        <w:rPr>
          <w:lang w:eastAsia="zh-CN"/>
        </w:rPr>
      </w:pPr>
    </w:p>
    <w:p w14:paraId="74792DAC" w14:textId="63F2E60D" w:rsidR="006C12D1" w:rsidRDefault="00135343" w:rsidP="006C12D1">
      <w:pPr>
        <w:rPr>
          <w:lang w:eastAsia="zh-CN"/>
        </w:rPr>
      </w:pPr>
      <w:r>
        <w:rPr>
          <w:noProof/>
          <w:lang w:eastAsia="zh-CN"/>
        </w:rPr>
        <w:drawing>
          <wp:inline distT="0" distB="0" distL="0" distR="0" wp14:anchorId="504E825B" wp14:editId="7870632D">
            <wp:extent cx="3172460" cy="3052445"/>
            <wp:effectExtent l="0" t="0" r="8890" b="0"/>
            <wp:docPr id="121471146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711465" name="Picture 1"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2460" cy="3052445"/>
                    </a:xfrm>
                    <a:prstGeom prst="rect">
                      <a:avLst/>
                    </a:prstGeom>
                    <a:noFill/>
                  </pic:spPr>
                </pic:pic>
              </a:graphicData>
            </a:graphic>
          </wp:inline>
        </w:drawing>
      </w:r>
    </w:p>
    <w:p w14:paraId="5BA6E9B4" w14:textId="77777777" w:rsidR="006C12D1" w:rsidRDefault="006C12D1" w:rsidP="007167BF"/>
    <w:p w14:paraId="7A82E846" w14:textId="33D50E56" w:rsidR="006C12D1" w:rsidRDefault="006C12D1" w:rsidP="006C12D1">
      <w:pPr>
        <w:pStyle w:val="Observation"/>
      </w:pPr>
      <w:bookmarkStart w:id="16" w:name="_Toc166178411"/>
      <w:bookmarkStart w:id="17" w:name="_Toc166178478"/>
      <w:bookmarkStart w:id="18" w:name="_Toc166192088"/>
      <w:bookmarkStart w:id="19" w:name="_Toc166231367"/>
      <w:bookmarkStart w:id="20" w:name="_Toc174029951"/>
      <w:bookmarkStart w:id="21" w:name="_Toc174031103"/>
      <w:bookmarkStart w:id="22" w:name="_Toc174033464"/>
      <w:bookmarkStart w:id="23" w:name="_Toc174093110"/>
      <w:bookmarkStart w:id="24" w:name="_Toc174094357"/>
      <w:r>
        <w:t xml:space="preserve">There could be energy savings, interference or other scenarios due to which coverage is modified in a </w:t>
      </w:r>
      <w:proofErr w:type="spellStart"/>
      <w:r>
        <w:t>gNB</w:t>
      </w:r>
      <w:proofErr w:type="spellEnd"/>
      <w:r>
        <w:t xml:space="preserve"> and it impacts the coverage state of the neighbouring </w:t>
      </w:r>
      <w:proofErr w:type="spellStart"/>
      <w:r>
        <w:t>gNBs</w:t>
      </w:r>
      <w:proofErr w:type="spellEnd"/>
      <w:r>
        <w:t xml:space="preserve">, </w:t>
      </w:r>
      <w:proofErr w:type="gramStart"/>
      <w:r>
        <w:t>One</w:t>
      </w:r>
      <w:proofErr w:type="gramEnd"/>
      <w:r>
        <w:t xml:space="preserve"> example could be a </w:t>
      </w:r>
      <w:proofErr w:type="spellStart"/>
      <w:r>
        <w:t>gNB</w:t>
      </w:r>
      <w:proofErr w:type="spellEnd"/>
      <w:r>
        <w:t xml:space="preserve"> shrinks its coverage for NES and neighbouring </w:t>
      </w:r>
      <w:proofErr w:type="spellStart"/>
      <w:r>
        <w:t>gNB</w:t>
      </w:r>
      <w:proofErr w:type="spellEnd"/>
      <w:r>
        <w:t xml:space="preserve"> needs to expand its coverage to avoid coverage gap.</w:t>
      </w:r>
      <w:bookmarkEnd w:id="16"/>
      <w:bookmarkEnd w:id="17"/>
      <w:bookmarkEnd w:id="18"/>
      <w:bookmarkEnd w:id="19"/>
      <w:bookmarkEnd w:id="20"/>
      <w:bookmarkEnd w:id="21"/>
      <w:bookmarkEnd w:id="22"/>
      <w:bookmarkEnd w:id="23"/>
      <w:bookmarkEnd w:id="24"/>
    </w:p>
    <w:p w14:paraId="3ECF11DC" w14:textId="0976657A" w:rsidR="00026C6A" w:rsidRPr="00205914" w:rsidRDefault="00026C6A" w:rsidP="006C12D1">
      <w:pPr>
        <w:pStyle w:val="PropObs"/>
        <w:rPr>
          <w:rFonts w:ascii="Times New Roman" w:eastAsia="Times New Roman" w:hAnsi="Times New Roman" w:cs="Times New Roman"/>
          <w:bCs w:val="0"/>
          <w:sz w:val="20"/>
          <w:szCs w:val="20"/>
          <w:lang w:val="en-GB" w:eastAsia="en-US"/>
        </w:rPr>
      </w:pPr>
      <w:bookmarkStart w:id="25" w:name="_Toc166192092"/>
      <w:bookmarkStart w:id="26" w:name="_Toc166231369"/>
      <w:bookmarkStart w:id="27" w:name="_Toc174029955"/>
      <w:bookmarkStart w:id="28" w:name="_Toc174031107"/>
      <w:bookmarkStart w:id="29" w:name="_Toc174033469"/>
      <w:bookmarkStart w:id="30" w:name="_Toc166178416"/>
      <w:bookmarkStart w:id="31" w:name="_Toc166178484"/>
      <w:bookmarkStart w:id="32" w:name="_Toc174093117"/>
      <w:bookmarkStart w:id="33" w:name="_Toc174093139"/>
      <w:bookmarkStart w:id="34" w:name="_Toc174094361"/>
      <w:r w:rsidRPr="00205914">
        <w:rPr>
          <w:rFonts w:ascii="Times New Roman" w:eastAsia="Times New Roman" w:hAnsi="Times New Roman" w:cs="Times New Roman"/>
          <w:bCs w:val="0"/>
          <w:sz w:val="20"/>
          <w:szCs w:val="20"/>
          <w:lang w:val="en-GB" w:eastAsia="en-US"/>
        </w:rPr>
        <w:t xml:space="preserve">A </w:t>
      </w:r>
      <w:proofErr w:type="spellStart"/>
      <w:r w:rsidRPr="00205914">
        <w:rPr>
          <w:rFonts w:ascii="Times New Roman" w:eastAsia="Times New Roman" w:hAnsi="Times New Roman" w:cs="Times New Roman"/>
          <w:bCs w:val="0"/>
          <w:sz w:val="20"/>
          <w:szCs w:val="20"/>
          <w:lang w:val="en-GB" w:eastAsia="en-US"/>
        </w:rPr>
        <w:t>gNB</w:t>
      </w:r>
      <w:proofErr w:type="spellEnd"/>
      <w:r w:rsidRPr="00205914">
        <w:rPr>
          <w:rFonts w:ascii="Times New Roman" w:eastAsia="Times New Roman" w:hAnsi="Times New Roman" w:cs="Times New Roman"/>
          <w:bCs w:val="0"/>
          <w:sz w:val="20"/>
          <w:szCs w:val="20"/>
          <w:lang w:val="en-GB" w:eastAsia="en-US"/>
        </w:rPr>
        <w:t xml:space="preserve"> can propose a predicted coverage configuration for cells served by its </w:t>
      </w:r>
      <w:proofErr w:type="spellStart"/>
      <w:r w:rsidRPr="00205914">
        <w:rPr>
          <w:rFonts w:ascii="Times New Roman" w:eastAsia="Times New Roman" w:hAnsi="Times New Roman" w:cs="Times New Roman"/>
          <w:bCs w:val="0"/>
          <w:sz w:val="20"/>
          <w:szCs w:val="20"/>
          <w:lang w:val="en-GB" w:eastAsia="en-US"/>
        </w:rPr>
        <w:t>neighboring</w:t>
      </w:r>
      <w:proofErr w:type="spellEnd"/>
      <w:r w:rsidRPr="00205914">
        <w:rPr>
          <w:rFonts w:ascii="Times New Roman" w:eastAsia="Times New Roman" w:hAnsi="Times New Roman" w:cs="Times New Roman"/>
          <w:bCs w:val="0"/>
          <w:sz w:val="20"/>
          <w:szCs w:val="20"/>
          <w:lang w:val="en-GB" w:eastAsia="en-US"/>
        </w:rPr>
        <w:t xml:space="preserve"> </w:t>
      </w:r>
      <w:proofErr w:type="spellStart"/>
      <w:r w:rsidRPr="00205914">
        <w:rPr>
          <w:rFonts w:ascii="Times New Roman" w:eastAsia="Times New Roman" w:hAnsi="Times New Roman" w:cs="Times New Roman"/>
          <w:bCs w:val="0"/>
          <w:sz w:val="20"/>
          <w:szCs w:val="20"/>
          <w:lang w:val="en-GB" w:eastAsia="en-US"/>
        </w:rPr>
        <w:t>gNBs</w:t>
      </w:r>
      <w:proofErr w:type="spellEnd"/>
      <w:r w:rsidRPr="00205914">
        <w:rPr>
          <w:rFonts w:ascii="Times New Roman" w:eastAsia="Times New Roman" w:hAnsi="Times New Roman" w:cs="Times New Roman"/>
          <w:bCs w:val="0"/>
          <w:sz w:val="20"/>
          <w:szCs w:val="20"/>
          <w:lang w:val="en-GB" w:eastAsia="en-US"/>
        </w:rPr>
        <w:t xml:space="preserve">. The </w:t>
      </w:r>
      <w:proofErr w:type="spellStart"/>
      <w:r w:rsidRPr="00205914">
        <w:rPr>
          <w:rFonts w:ascii="Times New Roman" w:eastAsia="Times New Roman" w:hAnsi="Times New Roman" w:cs="Times New Roman"/>
          <w:bCs w:val="0"/>
          <w:sz w:val="20"/>
          <w:szCs w:val="20"/>
          <w:lang w:val="en-GB" w:eastAsia="en-US"/>
        </w:rPr>
        <w:t>neighboring</w:t>
      </w:r>
      <w:proofErr w:type="spellEnd"/>
      <w:r w:rsidRPr="00205914">
        <w:rPr>
          <w:rFonts w:ascii="Times New Roman" w:eastAsia="Times New Roman" w:hAnsi="Times New Roman" w:cs="Times New Roman"/>
          <w:bCs w:val="0"/>
          <w:sz w:val="20"/>
          <w:szCs w:val="20"/>
          <w:lang w:val="en-GB" w:eastAsia="en-US"/>
        </w:rPr>
        <w:t xml:space="preserve"> </w:t>
      </w:r>
      <w:proofErr w:type="spellStart"/>
      <w:r w:rsidRPr="00205914">
        <w:rPr>
          <w:rFonts w:ascii="Times New Roman" w:eastAsia="Times New Roman" w:hAnsi="Times New Roman" w:cs="Times New Roman"/>
          <w:bCs w:val="0"/>
          <w:sz w:val="20"/>
          <w:szCs w:val="20"/>
          <w:lang w:val="en-GB" w:eastAsia="en-US"/>
        </w:rPr>
        <w:t>gNB</w:t>
      </w:r>
      <w:proofErr w:type="spellEnd"/>
      <w:r w:rsidRPr="00205914">
        <w:rPr>
          <w:rFonts w:ascii="Times New Roman" w:eastAsia="Times New Roman" w:hAnsi="Times New Roman" w:cs="Times New Roman"/>
          <w:bCs w:val="0"/>
          <w:sz w:val="20"/>
          <w:szCs w:val="20"/>
          <w:lang w:val="en-GB" w:eastAsia="en-US"/>
        </w:rPr>
        <w:t xml:space="preserve"> can either accept/reject this proposal and provide its own predicted coverage configuration upon request.</w:t>
      </w:r>
      <w:bookmarkEnd w:id="25"/>
      <w:bookmarkEnd w:id="26"/>
      <w:bookmarkEnd w:id="27"/>
      <w:bookmarkEnd w:id="28"/>
      <w:r w:rsidR="00AA28E1">
        <w:rPr>
          <w:rFonts w:ascii="Times New Roman" w:eastAsia="Times New Roman" w:hAnsi="Times New Roman" w:cs="Times New Roman"/>
          <w:bCs w:val="0"/>
          <w:sz w:val="20"/>
          <w:szCs w:val="20"/>
          <w:lang w:val="en-GB" w:eastAsia="en-US"/>
        </w:rPr>
        <w:t xml:space="preserve"> To include “Assistance Information on Future CCO state of neighbour” in the </w:t>
      </w:r>
      <w:proofErr w:type="spellStart"/>
      <w:r w:rsidR="00AA28E1">
        <w:rPr>
          <w:rFonts w:ascii="Times New Roman" w:eastAsia="Times New Roman" w:hAnsi="Times New Roman" w:cs="Times New Roman"/>
          <w:bCs w:val="0"/>
          <w:sz w:val="20"/>
          <w:szCs w:val="20"/>
          <w:lang w:val="en-GB" w:eastAsia="en-US"/>
        </w:rPr>
        <w:t>Xn</w:t>
      </w:r>
      <w:proofErr w:type="spellEnd"/>
      <w:r w:rsidR="00AA28E1">
        <w:rPr>
          <w:rFonts w:ascii="Times New Roman" w:eastAsia="Times New Roman" w:hAnsi="Times New Roman" w:cs="Times New Roman"/>
          <w:bCs w:val="0"/>
          <w:sz w:val="20"/>
          <w:szCs w:val="20"/>
          <w:lang w:val="en-GB" w:eastAsia="en-US"/>
        </w:rPr>
        <w:t xml:space="preserve"> Impact section of the TR 38.743 for AI/ML based CCO.</w:t>
      </w:r>
      <w:bookmarkEnd w:id="29"/>
      <w:bookmarkEnd w:id="32"/>
      <w:bookmarkEnd w:id="33"/>
      <w:bookmarkEnd w:id="34"/>
    </w:p>
    <w:bookmarkEnd w:id="30"/>
    <w:bookmarkEnd w:id="31"/>
    <w:p w14:paraId="2559A104" w14:textId="77777777" w:rsidR="006C12D1" w:rsidRDefault="006C12D1" w:rsidP="009D3C78"/>
    <w:p w14:paraId="31A88637" w14:textId="14D70517" w:rsidR="00963FB5" w:rsidRDefault="00191002" w:rsidP="00963FB5">
      <w:pPr>
        <w:pStyle w:val="Heading2"/>
        <w:ind w:left="0" w:firstLine="0"/>
      </w:pPr>
      <w:r>
        <w:t xml:space="preserve">Predicted </w:t>
      </w:r>
      <w:r w:rsidR="006C12D1">
        <w:t>CCO Configuration Feedback</w:t>
      </w:r>
    </w:p>
    <w:p w14:paraId="5DD0ECA0" w14:textId="77777777" w:rsidR="00963FB5" w:rsidRDefault="00963FB5" w:rsidP="00963FB5"/>
    <w:p w14:paraId="3D9C9C4B" w14:textId="0F4A0879" w:rsidR="000431DC" w:rsidRDefault="000431DC" w:rsidP="00963FB5">
      <w:r>
        <w:rPr>
          <w:lang w:eastAsia="zh-CN"/>
        </w:rPr>
        <w:t xml:space="preserve">Once the predicted coverage pattern is applied, the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can send feedback on Cell performance like throughput, packet loss, packet delay, RLF reports etc to the source </w:t>
      </w:r>
      <w:proofErr w:type="spellStart"/>
      <w:r>
        <w:rPr>
          <w:lang w:eastAsia="zh-CN"/>
        </w:rPr>
        <w:t>gNB</w:t>
      </w:r>
      <w:proofErr w:type="spellEnd"/>
      <w:r>
        <w:rPr>
          <w:lang w:eastAsia="zh-CN"/>
        </w:rPr>
        <w:t xml:space="preserve"> to inform the effects of applying predicted coverage pattern. The Feedback can be transferred from </w:t>
      </w:r>
      <w:proofErr w:type="spellStart"/>
      <w:r>
        <w:rPr>
          <w:lang w:eastAsia="zh-CN"/>
        </w:rPr>
        <w:t>gNB</w:t>
      </w:r>
      <w:proofErr w:type="spellEnd"/>
      <w:r>
        <w:rPr>
          <w:lang w:eastAsia="zh-CN"/>
        </w:rPr>
        <w:t xml:space="preserve">-CU to </w:t>
      </w:r>
      <w:proofErr w:type="spellStart"/>
      <w:r>
        <w:rPr>
          <w:lang w:eastAsia="zh-CN"/>
        </w:rPr>
        <w:t>gNB</w:t>
      </w:r>
      <w:proofErr w:type="spellEnd"/>
      <w:r>
        <w:rPr>
          <w:lang w:eastAsia="zh-CN"/>
        </w:rPr>
        <w:t>-DU to correct the CCO configuration.</w:t>
      </w:r>
    </w:p>
    <w:p w14:paraId="0C54F164" w14:textId="54A30733" w:rsidR="000431DC" w:rsidRPr="00D47739" w:rsidRDefault="000431DC" w:rsidP="000431DC">
      <w:pPr>
        <w:pStyle w:val="PropObs"/>
        <w:rPr>
          <w:rFonts w:ascii="Times New Roman" w:eastAsia="Times New Roman" w:hAnsi="Times New Roman" w:cs="Times New Roman"/>
          <w:bCs w:val="0"/>
          <w:sz w:val="20"/>
          <w:szCs w:val="20"/>
          <w:lang w:val="en-GB" w:eastAsia="en-US"/>
        </w:rPr>
      </w:pPr>
      <w:bookmarkStart w:id="35" w:name="_Toc166178417"/>
      <w:bookmarkStart w:id="36" w:name="_Toc166178485"/>
      <w:bookmarkStart w:id="37" w:name="_Toc166192093"/>
      <w:bookmarkStart w:id="38" w:name="_Toc166231370"/>
      <w:bookmarkStart w:id="39" w:name="_Toc174029956"/>
      <w:bookmarkStart w:id="40" w:name="_Toc174031108"/>
      <w:bookmarkStart w:id="41" w:name="_Toc174033470"/>
      <w:bookmarkStart w:id="42" w:name="_Toc174093118"/>
      <w:bookmarkStart w:id="43" w:name="_Toc174093140"/>
      <w:bookmarkStart w:id="44" w:name="_Toc174094362"/>
      <w:r w:rsidRPr="00D47739">
        <w:rPr>
          <w:rFonts w:ascii="Times New Roman" w:eastAsia="Times New Roman" w:hAnsi="Times New Roman" w:cs="Times New Roman"/>
          <w:bCs w:val="0"/>
          <w:sz w:val="20"/>
          <w:szCs w:val="20"/>
          <w:lang w:val="en-GB" w:eastAsia="en-US"/>
        </w:rPr>
        <w:t xml:space="preserve">The following parameters can be considered for feedback for the predicted CCO configuration and can be exchanged between neighbours over </w:t>
      </w:r>
      <w:proofErr w:type="spellStart"/>
      <w:r w:rsidRPr="00D47739">
        <w:rPr>
          <w:rFonts w:ascii="Times New Roman" w:eastAsia="Times New Roman" w:hAnsi="Times New Roman" w:cs="Times New Roman"/>
          <w:bCs w:val="0"/>
          <w:sz w:val="20"/>
          <w:szCs w:val="20"/>
          <w:lang w:val="en-GB" w:eastAsia="en-US"/>
        </w:rPr>
        <w:t>Xn</w:t>
      </w:r>
      <w:proofErr w:type="spellEnd"/>
      <w:r w:rsidRPr="00D47739">
        <w:rPr>
          <w:rFonts w:ascii="Times New Roman" w:eastAsia="Times New Roman" w:hAnsi="Times New Roman" w:cs="Times New Roman"/>
          <w:bCs w:val="0"/>
          <w:sz w:val="20"/>
          <w:szCs w:val="20"/>
          <w:lang w:val="en-GB" w:eastAsia="en-US"/>
        </w:rPr>
        <w:t xml:space="preserve"> and from </w:t>
      </w:r>
      <w:proofErr w:type="spellStart"/>
      <w:r w:rsidRPr="00D47739">
        <w:rPr>
          <w:rFonts w:ascii="Times New Roman" w:eastAsia="Times New Roman" w:hAnsi="Times New Roman" w:cs="Times New Roman"/>
          <w:bCs w:val="0"/>
          <w:sz w:val="20"/>
          <w:szCs w:val="20"/>
          <w:lang w:val="en-GB" w:eastAsia="en-US"/>
        </w:rPr>
        <w:t>gNB</w:t>
      </w:r>
      <w:proofErr w:type="spellEnd"/>
      <w:r w:rsidRPr="00D47739">
        <w:rPr>
          <w:rFonts w:ascii="Times New Roman" w:eastAsia="Times New Roman" w:hAnsi="Times New Roman" w:cs="Times New Roman"/>
          <w:bCs w:val="0"/>
          <w:sz w:val="20"/>
          <w:szCs w:val="20"/>
          <w:lang w:val="en-GB" w:eastAsia="en-US"/>
        </w:rPr>
        <w:t xml:space="preserve">-CU to </w:t>
      </w:r>
      <w:proofErr w:type="spellStart"/>
      <w:r w:rsidRPr="00D47739">
        <w:rPr>
          <w:rFonts w:ascii="Times New Roman" w:eastAsia="Times New Roman" w:hAnsi="Times New Roman" w:cs="Times New Roman"/>
          <w:bCs w:val="0"/>
          <w:sz w:val="20"/>
          <w:szCs w:val="20"/>
          <w:lang w:val="en-GB" w:eastAsia="en-US"/>
        </w:rPr>
        <w:t>gNB</w:t>
      </w:r>
      <w:proofErr w:type="spellEnd"/>
      <w:r w:rsidRPr="00D47739">
        <w:rPr>
          <w:rFonts w:ascii="Times New Roman" w:eastAsia="Times New Roman" w:hAnsi="Times New Roman" w:cs="Times New Roman"/>
          <w:bCs w:val="0"/>
          <w:sz w:val="20"/>
          <w:szCs w:val="20"/>
          <w:lang w:val="en-GB" w:eastAsia="en-US"/>
        </w:rPr>
        <w:t>-DU over F1.</w:t>
      </w:r>
      <w:bookmarkEnd w:id="35"/>
      <w:bookmarkEnd w:id="36"/>
      <w:bookmarkEnd w:id="37"/>
      <w:bookmarkEnd w:id="38"/>
      <w:bookmarkEnd w:id="39"/>
      <w:bookmarkEnd w:id="40"/>
      <w:bookmarkEnd w:id="41"/>
      <w:bookmarkEnd w:id="42"/>
      <w:bookmarkEnd w:id="43"/>
      <w:bookmarkEnd w:id="44"/>
    </w:p>
    <w:p w14:paraId="2A78214B" w14:textId="77777777" w:rsidR="000431DC" w:rsidRDefault="000431DC" w:rsidP="000431DC">
      <w:pPr>
        <w:pStyle w:val="PropObs"/>
        <w:numPr>
          <w:ilvl w:val="0"/>
          <w:numId w:val="38"/>
        </w:numPr>
        <w:spacing w:after="160" w:line="259" w:lineRule="auto"/>
      </w:pPr>
      <w:bookmarkStart w:id="45" w:name="_Toc166178418"/>
      <w:bookmarkStart w:id="46" w:name="_Toc166178486"/>
      <w:bookmarkStart w:id="47" w:name="_Toc166192094"/>
      <w:bookmarkStart w:id="48" w:name="_Toc166231371"/>
      <w:bookmarkStart w:id="49" w:name="_Toc174029957"/>
      <w:bookmarkStart w:id="50" w:name="_Toc174031109"/>
      <w:bookmarkStart w:id="51" w:name="_Toc174033471"/>
      <w:bookmarkStart w:id="52" w:name="_Hlk166178326"/>
      <w:bookmarkStart w:id="53" w:name="_Toc174093119"/>
      <w:bookmarkStart w:id="54" w:name="_Toc174093141"/>
      <w:bookmarkStart w:id="55" w:name="_Toc174094363"/>
      <w:r>
        <w:t>Cell throughput (DL/UL)</w:t>
      </w:r>
      <w:bookmarkEnd w:id="45"/>
      <w:bookmarkEnd w:id="46"/>
      <w:bookmarkEnd w:id="47"/>
      <w:bookmarkEnd w:id="48"/>
      <w:bookmarkEnd w:id="49"/>
      <w:bookmarkEnd w:id="50"/>
      <w:bookmarkEnd w:id="51"/>
      <w:bookmarkEnd w:id="53"/>
      <w:bookmarkEnd w:id="54"/>
      <w:bookmarkEnd w:id="55"/>
    </w:p>
    <w:p w14:paraId="5DA1FCDB" w14:textId="77777777" w:rsidR="000431DC" w:rsidRDefault="000431DC" w:rsidP="000431DC">
      <w:pPr>
        <w:pStyle w:val="PropObs"/>
        <w:numPr>
          <w:ilvl w:val="0"/>
          <w:numId w:val="38"/>
        </w:numPr>
        <w:spacing w:after="160" w:line="259" w:lineRule="auto"/>
      </w:pPr>
      <w:bookmarkStart w:id="56" w:name="_Toc166178419"/>
      <w:bookmarkStart w:id="57" w:name="_Toc166178487"/>
      <w:bookmarkStart w:id="58" w:name="_Toc166192095"/>
      <w:bookmarkStart w:id="59" w:name="_Toc166231372"/>
      <w:bookmarkStart w:id="60" w:name="_Toc174029958"/>
      <w:bookmarkStart w:id="61" w:name="_Toc174031110"/>
      <w:bookmarkStart w:id="62" w:name="_Toc174033472"/>
      <w:bookmarkStart w:id="63" w:name="_Toc174093120"/>
      <w:bookmarkStart w:id="64" w:name="_Toc174093142"/>
      <w:bookmarkStart w:id="65" w:name="_Toc174094364"/>
      <w:r>
        <w:t>Cell level Packet loss</w:t>
      </w:r>
      <w:bookmarkEnd w:id="56"/>
      <w:bookmarkEnd w:id="57"/>
      <w:bookmarkEnd w:id="58"/>
      <w:bookmarkEnd w:id="59"/>
      <w:bookmarkEnd w:id="60"/>
      <w:bookmarkEnd w:id="61"/>
      <w:bookmarkEnd w:id="62"/>
      <w:bookmarkEnd w:id="63"/>
      <w:bookmarkEnd w:id="64"/>
      <w:bookmarkEnd w:id="65"/>
    </w:p>
    <w:p w14:paraId="2A6E49C2" w14:textId="77777777" w:rsidR="000431DC" w:rsidRDefault="000431DC" w:rsidP="000431DC">
      <w:pPr>
        <w:pStyle w:val="PropObs"/>
        <w:numPr>
          <w:ilvl w:val="0"/>
          <w:numId w:val="38"/>
        </w:numPr>
        <w:spacing w:after="160" w:line="259" w:lineRule="auto"/>
      </w:pPr>
      <w:bookmarkStart w:id="66" w:name="_Toc166178420"/>
      <w:bookmarkStart w:id="67" w:name="_Toc166178488"/>
      <w:bookmarkStart w:id="68" w:name="_Toc166192096"/>
      <w:bookmarkStart w:id="69" w:name="_Toc166231373"/>
      <w:bookmarkStart w:id="70" w:name="_Toc174029959"/>
      <w:bookmarkStart w:id="71" w:name="_Toc174031111"/>
      <w:bookmarkStart w:id="72" w:name="_Toc174033473"/>
      <w:bookmarkStart w:id="73" w:name="_Toc174093121"/>
      <w:bookmarkStart w:id="74" w:name="_Toc174093143"/>
      <w:bookmarkStart w:id="75" w:name="_Toc174094365"/>
      <w:r>
        <w:t>Cell level Packet delay</w:t>
      </w:r>
      <w:bookmarkEnd w:id="66"/>
      <w:bookmarkEnd w:id="67"/>
      <w:bookmarkEnd w:id="68"/>
      <w:bookmarkEnd w:id="69"/>
      <w:bookmarkEnd w:id="70"/>
      <w:bookmarkEnd w:id="71"/>
      <w:bookmarkEnd w:id="72"/>
      <w:bookmarkEnd w:id="73"/>
      <w:bookmarkEnd w:id="74"/>
      <w:bookmarkEnd w:id="75"/>
    </w:p>
    <w:p w14:paraId="6410560A" w14:textId="0D99F4EF" w:rsidR="000431DC" w:rsidRDefault="000431DC" w:rsidP="000431DC">
      <w:pPr>
        <w:pStyle w:val="PropObs"/>
        <w:numPr>
          <w:ilvl w:val="0"/>
          <w:numId w:val="38"/>
        </w:numPr>
        <w:spacing w:after="160" w:line="259" w:lineRule="auto"/>
      </w:pPr>
      <w:bookmarkStart w:id="76" w:name="_Toc166178421"/>
      <w:bookmarkStart w:id="77" w:name="_Toc166178489"/>
      <w:bookmarkStart w:id="78" w:name="_Toc166192097"/>
      <w:bookmarkStart w:id="79" w:name="_Toc166231374"/>
      <w:bookmarkStart w:id="80" w:name="_Toc174029960"/>
      <w:bookmarkStart w:id="81" w:name="_Toc174031112"/>
      <w:bookmarkStart w:id="82" w:name="_Toc174033474"/>
      <w:bookmarkStart w:id="83" w:name="_Toc174093122"/>
      <w:bookmarkStart w:id="84" w:name="_Toc174093144"/>
      <w:bookmarkStart w:id="85" w:name="_Toc174094366"/>
      <w:r>
        <w:lastRenderedPageBreak/>
        <w:t>SON reports (RLF, CEF</w:t>
      </w:r>
      <w:r w:rsidR="008510FF">
        <w:t>, RA</w:t>
      </w:r>
      <w:r>
        <w:t>)</w:t>
      </w:r>
      <w:bookmarkEnd w:id="76"/>
      <w:bookmarkEnd w:id="77"/>
      <w:bookmarkEnd w:id="78"/>
      <w:bookmarkEnd w:id="79"/>
      <w:bookmarkEnd w:id="80"/>
      <w:bookmarkEnd w:id="81"/>
      <w:bookmarkEnd w:id="82"/>
      <w:bookmarkEnd w:id="83"/>
      <w:bookmarkEnd w:id="84"/>
      <w:bookmarkEnd w:id="85"/>
    </w:p>
    <w:bookmarkEnd w:id="52"/>
    <w:p w14:paraId="7A8A67DA" w14:textId="77777777" w:rsidR="000431DC" w:rsidRPr="00963FB5" w:rsidRDefault="000431DC" w:rsidP="000431DC">
      <w:pPr>
        <w:pStyle w:val="PropObs"/>
        <w:numPr>
          <w:ilvl w:val="0"/>
          <w:numId w:val="0"/>
        </w:numPr>
        <w:ind w:left="720"/>
      </w:pPr>
    </w:p>
    <w:p w14:paraId="0654E678" w14:textId="54957D87" w:rsidR="00205914" w:rsidRDefault="00205914" w:rsidP="00205914">
      <w:pPr>
        <w:pStyle w:val="Heading2"/>
        <w:ind w:left="0" w:firstLine="0"/>
      </w:pPr>
      <w:r>
        <w:t xml:space="preserve">Assistance Information </w:t>
      </w:r>
      <w:r w:rsidR="000969F6">
        <w:t>for Prediction of CCO Issue</w:t>
      </w:r>
    </w:p>
    <w:p w14:paraId="2FBE7969" w14:textId="77777777" w:rsidR="00205914" w:rsidRPr="00205914" w:rsidRDefault="00205914" w:rsidP="00205914"/>
    <w:p w14:paraId="568B54A0" w14:textId="34FA03F2" w:rsidR="00205914" w:rsidRDefault="00205914" w:rsidP="00205914">
      <w:r>
        <w:t xml:space="preserve">It was agreed the </w:t>
      </w:r>
      <w:proofErr w:type="spellStart"/>
      <w:r>
        <w:t>gNB</w:t>
      </w:r>
      <w:proofErr w:type="spellEnd"/>
      <w:r>
        <w:t xml:space="preserve">-CU will predict the CCO issue and forward it to the </w:t>
      </w:r>
      <w:proofErr w:type="spellStart"/>
      <w:r>
        <w:t>gNB</w:t>
      </w:r>
      <w:proofErr w:type="spellEnd"/>
      <w:r>
        <w:t xml:space="preserve">-DU. </w:t>
      </w:r>
      <w:proofErr w:type="spellStart"/>
      <w:r>
        <w:t>gNB</w:t>
      </w:r>
      <w:proofErr w:type="spellEnd"/>
      <w:r>
        <w:t xml:space="preserve">-CU predicts the CCO issue based on L3 measurements. </w:t>
      </w:r>
      <w:proofErr w:type="spellStart"/>
      <w:r w:rsidR="00E72155">
        <w:t>gNB</w:t>
      </w:r>
      <w:proofErr w:type="spellEnd"/>
      <w:r w:rsidR="00E72155">
        <w:t xml:space="preserve">-DU has L1 measurements and beam level information. Hence </w:t>
      </w:r>
      <w:proofErr w:type="spellStart"/>
      <w:r w:rsidR="00E72155">
        <w:t>gNB</w:t>
      </w:r>
      <w:proofErr w:type="spellEnd"/>
      <w:r w:rsidR="00E72155">
        <w:t xml:space="preserve">-DU has a better visibility of the beam level information for detecting CCO issue. </w:t>
      </w:r>
      <w:r w:rsidR="008510FF">
        <w:t xml:space="preserve">We therefore propose that </w:t>
      </w:r>
      <w:proofErr w:type="spellStart"/>
      <w:r w:rsidR="00E72155">
        <w:t>gNB</w:t>
      </w:r>
      <w:proofErr w:type="spellEnd"/>
      <w:r w:rsidR="00E72155">
        <w:t xml:space="preserve">-DU can send affected beams based on L1 measurements as assistance information to </w:t>
      </w:r>
      <w:proofErr w:type="spellStart"/>
      <w:r w:rsidR="00E72155">
        <w:t>gNB</w:t>
      </w:r>
      <w:proofErr w:type="spellEnd"/>
      <w:r w:rsidR="00E72155">
        <w:t>-CU.</w:t>
      </w:r>
    </w:p>
    <w:p w14:paraId="1178BCAF" w14:textId="51E916B7" w:rsidR="00E72155" w:rsidRDefault="00E72155" w:rsidP="00E72155">
      <w:pPr>
        <w:pStyle w:val="Observation"/>
      </w:pPr>
      <w:bookmarkStart w:id="86" w:name="_Toc174031104"/>
      <w:bookmarkStart w:id="87" w:name="_Toc174033465"/>
      <w:bookmarkStart w:id="88" w:name="_Toc174093111"/>
      <w:bookmarkStart w:id="89" w:name="_Toc174094358"/>
      <w:proofErr w:type="spellStart"/>
      <w:r>
        <w:t>gNB</w:t>
      </w:r>
      <w:proofErr w:type="spellEnd"/>
      <w:r>
        <w:t xml:space="preserve">-CU uses L3 measurement information as one of the </w:t>
      </w:r>
      <w:r w:rsidR="00AA28E1">
        <w:t>inputs</w:t>
      </w:r>
      <w:r>
        <w:t xml:space="preserve"> to predict CCO issue. </w:t>
      </w:r>
      <w:proofErr w:type="gramStart"/>
      <w:r>
        <w:t>However</w:t>
      </w:r>
      <w:proofErr w:type="gramEnd"/>
      <w:r>
        <w:t xml:space="preserve"> </w:t>
      </w:r>
      <w:proofErr w:type="spellStart"/>
      <w:r>
        <w:t>gNB</w:t>
      </w:r>
      <w:proofErr w:type="spellEnd"/>
      <w:r>
        <w:t xml:space="preserve">-CU lacks insight into the beam level information which is available in the </w:t>
      </w:r>
      <w:proofErr w:type="spellStart"/>
      <w:r>
        <w:t>gNB</w:t>
      </w:r>
      <w:proofErr w:type="spellEnd"/>
      <w:r>
        <w:t xml:space="preserve">-DU. </w:t>
      </w:r>
      <w:proofErr w:type="spellStart"/>
      <w:r>
        <w:t>gNB</w:t>
      </w:r>
      <w:proofErr w:type="spellEnd"/>
      <w:r>
        <w:t>-DU has better visibility of beam level information based on L1 measurements for detecting CCO issue.</w:t>
      </w:r>
      <w:bookmarkEnd w:id="86"/>
      <w:bookmarkEnd w:id="87"/>
      <w:bookmarkEnd w:id="88"/>
      <w:bookmarkEnd w:id="89"/>
    </w:p>
    <w:p w14:paraId="12002555" w14:textId="0C0A5A0E" w:rsidR="00E72155" w:rsidRPr="00E72155" w:rsidRDefault="008510FF" w:rsidP="00E72155">
      <w:pPr>
        <w:pStyle w:val="PropObs"/>
      </w:pPr>
      <w:bookmarkStart w:id="90" w:name="_Toc174031113"/>
      <w:bookmarkStart w:id="91" w:name="_Toc174033475"/>
      <w:bookmarkStart w:id="92" w:name="_Toc174093123"/>
      <w:bookmarkStart w:id="93" w:name="_Toc174093145"/>
      <w:bookmarkStart w:id="94" w:name="_Toc174094367"/>
      <w:r>
        <w:rPr>
          <w:rFonts w:ascii="Times New Roman" w:eastAsia="Times New Roman" w:hAnsi="Times New Roman" w:cs="Times New Roman"/>
          <w:bCs w:val="0"/>
          <w:sz w:val="20"/>
          <w:szCs w:val="20"/>
          <w:lang w:val="en-GB" w:eastAsia="en-US"/>
        </w:rPr>
        <w:t xml:space="preserve">For CCO issue prediction, </w:t>
      </w:r>
      <w:proofErr w:type="spellStart"/>
      <w:r w:rsidR="00E72155" w:rsidRPr="00AA28E1">
        <w:rPr>
          <w:rFonts w:ascii="Times New Roman" w:eastAsia="Times New Roman" w:hAnsi="Times New Roman" w:cs="Times New Roman"/>
          <w:bCs w:val="0"/>
          <w:sz w:val="20"/>
          <w:szCs w:val="20"/>
          <w:lang w:val="en-GB" w:eastAsia="en-US"/>
        </w:rPr>
        <w:t>gNB</w:t>
      </w:r>
      <w:proofErr w:type="spellEnd"/>
      <w:r w:rsidR="00E72155" w:rsidRPr="00AA28E1">
        <w:rPr>
          <w:rFonts w:ascii="Times New Roman" w:eastAsia="Times New Roman" w:hAnsi="Times New Roman" w:cs="Times New Roman"/>
          <w:bCs w:val="0"/>
          <w:sz w:val="20"/>
          <w:szCs w:val="20"/>
          <w:lang w:val="en-GB" w:eastAsia="en-US"/>
        </w:rPr>
        <w:t xml:space="preserve">-DU can send assistance information to </w:t>
      </w:r>
      <w:proofErr w:type="spellStart"/>
      <w:r w:rsidR="00E72155" w:rsidRPr="00AA28E1">
        <w:rPr>
          <w:rFonts w:ascii="Times New Roman" w:eastAsia="Times New Roman" w:hAnsi="Times New Roman" w:cs="Times New Roman"/>
          <w:bCs w:val="0"/>
          <w:sz w:val="20"/>
          <w:szCs w:val="20"/>
          <w:lang w:val="en-GB" w:eastAsia="en-US"/>
        </w:rPr>
        <w:t>gNB</w:t>
      </w:r>
      <w:proofErr w:type="spellEnd"/>
      <w:r w:rsidR="00E72155" w:rsidRPr="00AA28E1">
        <w:rPr>
          <w:rFonts w:ascii="Times New Roman" w:eastAsia="Times New Roman" w:hAnsi="Times New Roman" w:cs="Times New Roman"/>
          <w:bCs w:val="0"/>
          <w:sz w:val="20"/>
          <w:szCs w:val="20"/>
          <w:lang w:val="en-GB" w:eastAsia="en-US"/>
        </w:rPr>
        <w:t>-CU</w:t>
      </w:r>
      <w:r w:rsidR="00AA28E1" w:rsidRPr="00AA28E1">
        <w:rPr>
          <w:rFonts w:ascii="Times New Roman" w:eastAsia="Times New Roman" w:hAnsi="Times New Roman" w:cs="Times New Roman"/>
          <w:bCs w:val="0"/>
          <w:sz w:val="20"/>
          <w:szCs w:val="20"/>
          <w:lang w:val="en-GB" w:eastAsia="en-US"/>
        </w:rPr>
        <w:t xml:space="preserve"> on affected beams based on L1 measurements.</w:t>
      </w:r>
      <w:bookmarkEnd w:id="90"/>
      <w:r w:rsidR="00AA28E1">
        <w:t xml:space="preserve"> </w:t>
      </w:r>
      <w:r w:rsidR="00AA28E1">
        <w:rPr>
          <w:rFonts w:ascii="Times New Roman" w:eastAsia="Times New Roman" w:hAnsi="Times New Roman" w:cs="Times New Roman"/>
          <w:bCs w:val="0"/>
          <w:sz w:val="20"/>
          <w:szCs w:val="20"/>
          <w:lang w:val="en-GB" w:eastAsia="en-US"/>
        </w:rPr>
        <w:t>To include “Assistance Information on Affected beams” in the F1 Impact section of the TR 38.743 for AI/ML based CCO.</w:t>
      </w:r>
      <w:bookmarkEnd w:id="91"/>
      <w:bookmarkEnd w:id="92"/>
      <w:bookmarkEnd w:id="93"/>
      <w:bookmarkEnd w:id="94"/>
    </w:p>
    <w:p w14:paraId="0C28BDA5" w14:textId="77777777" w:rsidR="00E72155" w:rsidRPr="00205914" w:rsidRDefault="00E72155" w:rsidP="00205914"/>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28E60FCD" w14:textId="77777777" w:rsidR="00000F38"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000F38">
        <w:rPr>
          <w:noProof/>
        </w:rPr>
        <w:t>Observation 1.</w:t>
      </w:r>
      <w:r w:rsidR="00000F38">
        <w:rPr>
          <w:rFonts w:asciiTheme="minorHAnsi" w:eastAsiaTheme="minorEastAsia" w:hAnsiTheme="minorHAnsi" w:cstheme="minorBidi"/>
          <w:noProof/>
          <w:kern w:val="2"/>
          <w:sz w:val="24"/>
          <w:szCs w:val="24"/>
          <w:lang w:val="en-US"/>
          <w14:ligatures w14:val="standardContextual"/>
        </w:rPr>
        <w:tab/>
      </w:r>
      <w:r w:rsidR="00000F38">
        <w:rPr>
          <w:noProof/>
        </w:rPr>
        <w:t>There could be energy savings, interference or other scenarios due to which coverage is modified in a gNB and it impacts the coverage state of the neighbouring gNBs, One example could be a gNB shrinks its coverage for NES and neighbouring gNB needs to exand its coverage to avoid coverage gap.</w:t>
      </w:r>
    </w:p>
    <w:p w14:paraId="1CF8FF52"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gNB-CU uses L3 measurement information as one of the inputs to predict CCO issue. However gNB-CU lacks insight into the beam level information which is available in the gNB-DU. gNB-DU has better visibility of beam level information based on L1 measurements for detecting CCO issue.</w:t>
      </w:r>
    </w:p>
    <w:p w14:paraId="2509F800" w14:textId="1767AA15"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6DD31D7C" w14:textId="77777777" w:rsidR="00000F38"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000F38" w:rsidRPr="000E227B">
        <w:rPr>
          <w:noProof/>
        </w:rPr>
        <w:t>Proposal 1:</w:t>
      </w:r>
      <w:r w:rsidR="00000F38">
        <w:rPr>
          <w:rFonts w:asciiTheme="minorHAnsi" w:eastAsiaTheme="minorEastAsia" w:hAnsiTheme="minorHAnsi" w:cstheme="minorBidi"/>
          <w:noProof/>
          <w:kern w:val="2"/>
          <w:sz w:val="24"/>
          <w:szCs w:val="24"/>
          <w:lang w:val="en-US"/>
          <w14:ligatures w14:val="standardContextual"/>
        </w:rPr>
        <w:tab/>
      </w:r>
      <w:r w:rsidR="00000F38" w:rsidRPr="000E227B">
        <w:rPr>
          <w:noProof/>
        </w:rPr>
        <w:t>RAN3 to agrees to add “Future CCO state” as the output data of AI/ML based CCO for non-split architecture. Agree to TP in R3-244291</w:t>
      </w:r>
    </w:p>
    <w:p w14:paraId="571F1B53"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noProof/>
        </w:rPr>
        <w:t>Proposal 2:</w:t>
      </w:r>
      <w:r>
        <w:rPr>
          <w:rFonts w:asciiTheme="minorHAnsi" w:eastAsiaTheme="minorEastAsia" w:hAnsiTheme="minorHAnsi" w:cstheme="minorBidi"/>
          <w:noProof/>
          <w:kern w:val="2"/>
          <w:sz w:val="24"/>
          <w:szCs w:val="24"/>
          <w:lang w:val="en-US"/>
          <w14:ligatures w14:val="standardContextual"/>
        </w:rPr>
        <w:tab/>
      </w:r>
      <w:r w:rsidRPr="000E227B">
        <w:rPr>
          <w:noProof/>
        </w:rPr>
        <w:t>RAN3 to agrees to include Time information along with Future CCO state for AI/ML based CCO.</w:t>
      </w:r>
    </w:p>
    <w:p w14:paraId="5F6833F7"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noProof/>
        </w:rPr>
        <w:t>Proposal 3:</w:t>
      </w:r>
      <w:r>
        <w:rPr>
          <w:rFonts w:asciiTheme="minorHAnsi" w:eastAsiaTheme="minorEastAsia" w:hAnsiTheme="minorHAnsi" w:cstheme="minorBidi"/>
          <w:noProof/>
          <w:kern w:val="2"/>
          <w:sz w:val="24"/>
          <w:szCs w:val="24"/>
          <w:lang w:val="en-US"/>
          <w14:ligatures w14:val="standardContextual"/>
        </w:rPr>
        <w:tab/>
      </w:r>
      <w:r w:rsidRPr="000E227B">
        <w:rPr>
          <w:noProof/>
        </w:rPr>
        <w:t>A gNB can propose a predicted coverage configuration for cells served by its neighboring gNBs. The neighboring gNB can either accept/reject this proposal and provide its own predicted coverage configuration upon request. To include “Assistance Information on Future CCO state of neighbour” in the Xn Impact section of the TR 38.743 for AI/ML based CCO.</w:t>
      </w:r>
    </w:p>
    <w:p w14:paraId="3B9E6B63"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noProof/>
        </w:rPr>
        <w:t>Proposal 4:</w:t>
      </w:r>
      <w:r>
        <w:rPr>
          <w:rFonts w:asciiTheme="minorHAnsi" w:eastAsiaTheme="minorEastAsia" w:hAnsiTheme="minorHAnsi" w:cstheme="minorBidi"/>
          <w:noProof/>
          <w:kern w:val="2"/>
          <w:sz w:val="24"/>
          <w:szCs w:val="24"/>
          <w:lang w:val="en-US"/>
          <w14:ligatures w14:val="standardContextual"/>
        </w:rPr>
        <w:tab/>
      </w:r>
      <w:r w:rsidRPr="000E227B">
        <w:rPr>
          <w:noProof/>
        </w:rPr>
        <w:t>The following parameters can be considered for feedback for the predicted CCO configuration and can be exchanged between neighbours over Xn and from gNB-CU to gNB-DU over F1.</w:t>
      </w:r>
    </w:p>
    <w:p w14:paraId="478A9AF1"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Cell throughput (DL/UL)</w:t>
      </w:r>
    </w:p>
    <w:p w14:paraId="2B66F18F"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Cell level Packet loss</w:t>
      </w:r>
    </w:p>
    <w:p w14:paraId="274DC4E8"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Cell level Packet delay</w:t>
      </w:r>
    </w:p>
    <w:p w14:paraId="6D87B678"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sidRPr="000E227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Pr>
          <w:noProof/>
        </w:rPr>
        <w:t>SON reports (RLF, CEF, RA)</w:t>
      </w:r>
    </w:p>
    <w:p w14:paraId="0A7010A9" w14:textId="77777777" w:rsidR="00000F38" w:rsidRDefault="00000F38">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Proposal 5:</w:t>
      </w:r>
      <w:r>
        <w:rPr>
          <w:rFonts w:asciiTheme="minorHAnsi" w:eastAsiaTheme="minorEastAsia" w:hAnsiTheme="minorHAnsi" w:cstheme="minorBidi"/>
          <w:noProof/>
          <w:kern w:val="2"/>
          <w:sz w:val="24"/>
          <w:szCs w:val="24"/>
          <w:lang w:val="en-US"/>
          <w14:ligatures w14:val="standardContextual"/>
        </w:rPr>
        <w:tab/>
      </w:r>
      <w:r w:rsidRPr="000E227B">
        <w:rPr>
          <w:noProof/>
        </w:rPr>
        <w:t>For CCO issue prediction, gNB-DU can send assistance information to gNB-CU on affected beams based on L1 measurements.</w:t>
      </w:r>
      <w:r>
        <w:rPr>
          <w:noProof/>
        </w:rPr>
        <w:t xml:space="preserve"> </w:t>
      </w:r>
      <w:r w:rsidRPr="000E227B">
        <w:rPr>
          <w:noProof/>
        </w:rPr>
        <w:t>To include “Assistance Information on Affected beams” in the F1 Impact section of the TR 38.743 for AI/ML based CCO.</w:t>
      </w:r>
    </w:p>
    <w:p w14:paraId="5776CDA5" w14:textId="083BC8A3"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05DE9">
      <w:headerReference w:type="even" r:id="rId13"/>
      <w:footerReference w:type="even" r:id="rId14"/>
      <w:headerReference w:type="first" r:id="rId15"/>
      <w:footerReference w:type="first" r:id="rId16"/>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F4CBC" w14:textId="77777777" w:rsidR="001C6115" w:rsidRDefault="001C6115">
      <w:pPr>
        <w:spacing w:after="0"/>
      </w:pPr>
      <w:r>
        <w:separator/>
      </w:r>
    </w:p>
  </w:endnote>
  <w:endnote w:type="continuationSeparator" w:id="0">
    <w:p w14:paraId="62137A89" w14:textId="77777777" w:rsidR="001C6115" w:rsidRDefault="001C6115">
      <w:pPr>
        <w:spacing w:after="0"/>
      </w:pPr>
      <w:r>
        <w:continuationSeparator/>
      </w:r>
    </w:p>
  </w:endnote>
  <w:endnote w:type="continuationNotice" w:id="1">
    <w:p w14:paraId="546BA94E" w14:textId="77777777" w:rsidR="001C6115" w:rsidRDefault="001C61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A5F3F9" w14:textId="77777777" w:rsidR="001C6115" w:rsidRDefault="001C6115">
      <w:pPr>
        <w:spacing w:after="0"/>
      </w:pPr>
      <w:r>
        <w:separator/>
      </w:r>
    </w:p>
  </w:footnote>
  <w:footnote w:type="continuationSeparator" w:id="0">
    <w:p w14:paraId="058E35D0" w14:textId="77777777" w:rsidR="001C6115" w:rsidRDefault="001C6115">
      <w:pPr>
        <w:spacing w:after="0"/>
      </w:pPr>
      <w:r>
        <w:continuationSeparator/>
      </w:r>
    </w:p>
  </w:footnote>
  <w:footnote w:type="continuationNotice" w:id="1">
    <w:p w14:paraId="63149A75" w14:textId="77777777" w:rsidR="001C6115" w:rsidRDefault="001C61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71147E58"/>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0"/>
  </w:num>
  <w:num w:numId="3" w16cid:durableId="115368091">
    <w:abstractNumId w:val="11"/>
  </w:num>
  <w:num w:numId="4" w16cid:durableId="57484751">
    <w:abstractNumId w:val="20"/>
  </w:num>
  <w:num w:numId="5" w16cid:durableId="2075538779">
    <w:abstractNumId w:val="6"/>
  </w:num>
  <w:num w:numId="6" w16cid:durableId="1842546794">
    <w:abstractNumId w:val="13"/>
  </w:num>
  <w:num w:numId="7" w16cid:durableId="714819153">
    <w:abstractNumId w:val="8"/>
  </w:num>
  <w:num w:numId="8" w16cid:durableId="1399595774">
    <w:abstractNumId w:val="17"/>
  </w:num>
  <w:num w:numId="9" w16cid:durableId="576793776">
    <w:abstractNumId w:val="1"/>
  </w:num>
  <w:num w:numId="10" w16cid:durableId="703138330">
    <w:abstractNumId w:val="12"/>
  </w:num>
  <w:num w:numId="11" w16cid:durableId="858734355">
    <w:abstractNumId w:val="2"/>
  </w:num>
  <w:num w:numId="12" w16cid:durableId="2143886941">
    <w:abstractNumId w:val="19"/>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4"/>
  </w:num>
  <w:num w:numId="19" w16cid:durableId="441070255">
    <w:abstractNumId w:val="3"/>
  </w:num>
  <w:num w:numId="20" w16cid:durableId="435905563">
    <w:abstractNumId w:val="6"/>
    <w:lvlOverride w:ilvl="0">
      <w:startOverride w:val="1"/>
    </w:lvlOverride>
  </w:num>
  <w:num w:numId="21" w16cid:durableId="524487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1"/>
  </w:num>
  <w:num w:numId="25" w16cid:durableId="1004288352">
    <w:abstractNumId w:val="15"/>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6"/>
  </w:num>
  <w:num w:numId="32" w16cid:durableId="332534214">
    <w:abstractNumId w:val="6"/>
    <w:lvlOverride w:ilvl="0">
      <w:startOverride w:val="1"/>
    </w:lvlOverride>
  </w:num>
  <w:num w:numId="33" w16cid:durableId="27074839">
    <w:abstractNumId w:val="18"/>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AD2"/>
    <w:rsid w:val="00060129"/>
    <w:rsid w:val="0006036E"/>
    <w:rsid w:val="0006171A"/>
    <w:rsid w:val="00061A7A"/>
    <w:rsid w:val="0006232B"/>
    <w:rsid w:val="000627E6"/>
    <w:rsid w:val="00062C30"/>
    <w:rsid w:val="00063525"/>
    <w:rsid w:val="0006358E"/>
    <w:rsid w:val="00065180"/>
    <w:rsid w:val="0006562E"/>
    <w:rsid w:val="0006598D"/>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43"/>
    <w:rsid w:val="001353A8"/>
    <w:rsid w:val="00135B48"/>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81E"/>
    <w:rsid w:val="00496B93"/>
    <w:rsid w:val="0049769A"/>
    <w:rsid w:val="004978B2"/>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6"/>
    <w:rsid w:val="00532BBD"/>
    <w:rsid w:val="00532D9E"/>
    <w:rsid w:val="005344A2"/>
    <w:rsid w:val="00534E32"/>
    <w:rsid w:val="005367E6"/>
    <w:rsid w:val="00537E50"/>
    <w:rsid w:val="00541FC8"/>
    <w:rsid w:val="005423BC"/>
    <w:rsid w:val="00543B00"/>
    <w:rsid w:val="00543D57"/>
    <w:rsid w:val="00544D0D"/>
    <w:rsid w:val="00544FEB"/>
    <w:rsid w:val="0054506C"/>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918</TotalTime>
  <Pages>4</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10</cp:revision>
  <cp:lastPrinted>2017-09-12T20:53:00Z</cp:lastPrinted>
  <dcterms:created xsi:type="dcterms:W3CDTF">2024-08-07T17:26:00Z</dcterms:created>
  <dcterms:modified xsi:type="dcterms:W3CDTF">2024-08-09T05:42:00Z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